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https://www.cnmc.es/expedientes/c067315</w:t>
      </w:r>
    </w:p>
    <w:p>
      <w:r>
        <w:t>Pages translated : 1</w:t>
      </w:r>
    </w:p>
    <w:p/>
    <w:p>
      <w:r>
        <w:rPr>
          <w:b/>
        </w:rPr>
        <w:t>[Pages 1–1]</w:t>
      </w:r>
    </w:p>
    <w:p>
      <w:r>
        <w:t>RESOLUTION</w:t>
        <w:br/>
        <w:t>C/0673/15 PAI PARTNERS/INVERSIONES SOCICARE</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July 23, 2015</w:t>
        <w:br/>
        <w:t>Having reviewed the file processed in accordance with Law 15/2007, of July 3, on the Defense of Competition, concerning the acquisition of exclusive control of INVERSIONES SOCICARE, S.L. by PAI PARTNERS SAS (“PAI”) (C/0673/15 PAI PARTNERS/INVERSIONES SOCICARE), and in agreement with the report and proposal submitted by the Competition Directorate, the Competition Chamber of the Council of the National Commission on Markets and Competition has resolved, pursuant to art. 57.2.a) of the aforementioned Law, to authorize the said concentration operation. However, taking into account the practice of the CNMC and what is established in the Commission Communication on restrictions directly linked to the execution of a concentration and necessary for that purpose (2005/C 56/03), this Competition Chamber considers that the non-solicitation agreement does not form part of the operation insofar as it does not affect the executives of the acquired business. 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