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https://www.cnmc.es/expedientes/c067415</w:t>
      </w:r>
    </w:p>
    <w:p>
      <w:r>
        <w:t>Pages translated : 2</w:t>
      </w:r>
    </w:p>
    <w:p/>
    <w:p>
      <w:r>
        <w:rPr>
          <w:b/>
        </w:rPr>
        <w:t>[Pages 1–2]</w:t>
      </w:r>
    </w:p>
    <w:p>
      <w:r>
        <w:t>RESOLUTION</w:t>
        <w:br/>
        <w:t>(FILE NO. C/0674/15 ADB BVBA/SAFEGATE INTERNATIONAL AB)</w:t>
        <w:br/>
        <w:t>COMPETITION CHAMBER</w:t>
      </w:r>
    </w:p>
    <w:p>
      <w:r>
        <w:t>President</w:t>
        <w:br/>
        <w:t>Mr. José María Marín Quemada</w:t>
      </w:r>
    </w:p>
    <w:p>
      <w:r>
        <w:t>Counselors</w:t>
        <w:br/>
        <w:t>Ms. María Ortiz Aguilar</w:t>
        <w:br/>
        <w:t>Mr. Fernando Torremocha y García-Sáenz</w:t>
        <w:br/>
        <w:t>Mr. Benigno Valdés Díaz</w:t>
        <w:br/>
        <w:t>Ms. Idoia Zenarrutzabeitia Beldarraín</w:t>
      </w:r>
    </w:p>
    <w:p>
      <w:r>
        <w:t>Secretary</w:t>
        <w:br/>
        <w:t>Mr. Tomás Suárez-Inclán González</w:t>
      </w:r>
    </w:p>
    <w:p>
      <w:r>
        <w:t>In Madrid, on July 30, 2015</w:t>
      </w:r>
    </w:p>
    <w:p>
      <w:r>
        <w:t>Having reviewed the file processed in accordance with Law 15/2007, of July 3, on the Defense of Competition, concerning the acquisition by ADB BVBA (ADB) of 100% of the shares and, consequently, the exclusive control of SAFEGATE INTERNATIONAL AB (SAFEGATE) (File No. C/0674/15 ADB BVBA/SAFEGATE INTERNATIONAL AB), and in agreement with the report and proposal submitted by the Competition Directorate, the Competition Chamber of the National Commission on Markets and Competition has resolved, pursuant to Article 57.2.a) of the aforementioned Law, to authorize the said concentration operation. Likewise, taking into account the Communication from the European Commission regarding restrictions directly linked to the execution of a concentration and necessary for that purpose (2005/C 56/03) and the practice of national competition authorities, it is proposed that the restriction on the acquisition of shares, which exceeding 10% and being for investment purposes do not confer management functions or substantial influence, be excluded from the authorization with respect to the non-compete clause.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