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https://www.cnmc.es/expedientes/c067515</w:t>
      </w:r>
    </w:p>
    <w:p>
      <w:r>
        <w:t>Pages translated : 1</w:t>
      </w:r>
    </w:p>
    <w:p/>
    <w:p>
      <w:r>
        <w:rPr>
          <w:b/>
        </w:rPr>
        <w:t>[Pages 1–1]</w:t>
      </w:r>
    </w:p>
    <w:p>
      <w:r>
        <w:t>RESOLUTION</w:t>
        <w:br/>
        <w:t>CASE FILE C-0675/15 DS SMITH/LANTERO</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30, 2015</w:t>
        <w:br/>
        <w:t>Having reviewed the case file processed in accordance with Law 15/2007, of July 3, on the Defense of Competition, concerning the acquisition by DS SMITH PACKAGING HOLDING, S.L. (DS SMITH) of 100% of the shares that LANINVER SHC, S.L. (LANINVER) holds in the capital of the companies comprising the LANTERO GROUP (LANTERO): Tecnicartón, S.L., Cartonajes del Penedés, S.A., Transformados de Cartón Triplex TCT, S.A., José Lantero e Hijos, S.A., Lantero Cartón, S.L., Afycemba, S.L., Cartón Galicia, S.A., Flak, S.L. and Diseño de Contenedores y Embalajes S.A., except for the part of their share capital that DS SMITH already owns or that is in the hands of third parties. (Case File C-0675/15 DS SMITH/LANTERO),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