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https://www.cnmc.es/expedientes/c067615</w:t>
      </w:r>
    </w:p>
    <w:p>
      <w:r>
        <w:t>Pages translated : 1</w:t>
      </w:r>
    </w:p>
    <w:p/>
    <w:p>
      <w:r>
        <w:rPr>
          <w:b/>
        </w:rPr>
        <w:t>[Pages 1–1]</w:t>
      </w:r>
    </w:p>
    <w:p>
      <w:r>
        <w:t>RESOLUTION</w:t>
        <w:br/>
        <w:t>C-0676/15 DISA/GRC</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23, 2015</w:t>
        <w:br/>
        <w:t>Having reviewed the file processed in accordance with Law 15/2007, of July 3, on the Defense of Competition, consisting of the acquisition by DISA CORPORACIÓN PETROLÍFERA, S.A. (hereinafter, DISA), through its subsidiary DISA GAS, S.A.U. (hereinafter, DISA GAS), of exclusive control over GASIFICADORA REGIONAL CANARIA, S.A. (hereinafter, GRC), owned by ENDESA, S.A. (hereinafter, ENDESA) (C-0676/15 DISA/GRC),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