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https://www.cnmc.es/expedientes/c067715</w:t>
      </w:r>
    </w:p>
    <w:p>
      <w:r>
        <w:t>Pages translated : 2</w:t>
      </w:r>
    </w:p>
    <w:p/>
    <w:p>
      <w:r>
        <w:rPr>
          <w:b/>
        </w:rPr>
        <w:t>[Pages 1–2]</w:t>
      </w:r>
    </w:p>
    <w:p>
      <w:r>
        <w:t>RESOLUTION</w:t>
        <w:br/>
        <w:t>(FILE C-0677/15 IBERLECHE/CAPSA)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30, 2015</w:t>
      </w:r>
    </w:p>
    <w:p>
      <w:r>
        <w:t>Having reviewed the file processed in accordance with Law 15/2007, of July 3, on the Defense of Competition, concerning the acquisition by IBERLECHE, SL (wholly controlled by LECHE CELTA, SL) of the exclusive control of the private label dairy products business of CORPORACIÓN ALIMENTARIA PEÑASANTA, SA. (CAPSA) (File C-0677/15 IBERLECHE / CAPSA),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both the timeframes (to the extent that they exceed five years) and the content of the Supply Contract as well as the non-compete clause to the extent that it exceeds three years must be excluded from the authorization. All of this must be subject to the regulations on agreements between companies, insofar as such restrictions are not considered ancillary to the concentration operation.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