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https://www.cnmc.es/expedientes/c067915</w:t>
      </w:r>
    </w:p>
    <w:p>
      <w:r>
        <w:t>Pages translated : 2</w:t>
      </w:r>
    </w:p>
    <w:p/>
    <w:p>
      <w:r>
        <w:rPr>
          <w:b/>
        </w:rPr>
        <w:t>[Pages 1–2]</w:t>
      </w:r>
    </w:p>
    <w:p>
      <w:r>
        <w:t>RESOLUTION</w:t>
        <w:br/>
        <w:t>(FILE NO. C/0679/15 DEVRO/PVI)</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 2015</w:t>
        <w:br/>
        <w:t>Having reviewed the file processed in accordance with Law 15/2007, of July 3, on the Defense of Competition, concerning the acquisition by DEVRO PLC (DEVRO) of exclusive control over PV INDUSTRIES, B.V. (PVI), through the purchase of 100% of its shares (File No. C/0679/15 DEVRO/PVI),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as it pertains to Spain, the non-competition, non-solicitation, and confidentiality agreements included in the purchase contract that exceed two years from the execution of the concentration operation shall be excluded from the authorization, being, where applicable, subject to the applicable regulations on agreements between companies. All of this in accordance with what is stated in paragraph (12)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