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https://www.cnmc.es/expedientes/c068015</w:t>
      </w:r>
    </w:p>
    <w:p>
      <w:r>
        <w:t>Pages translated : 2</w:t>
      </w:r>
    </w:p>
    <w:p/>
    <w:p>
      <w:r>
        <w:rPr>
          <w:b/>
        </w:rPr>
        <w:t>[Pages 1–2]</w:t>
      </w:r>
    </w:p>
    <w:p>
      <w:r>
        <w:t>RESOLUTION</w:t>
        <w:br/>
        <w:t>(FILE NO. C/0680/15 APAX/IDEALISTA)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 2015</w:t>
        <w:br/>
        <w:t>Having reviewed the file processed in accordance with Law 15/2007, of July 3, on the Defense of Competition, consisting of the acquisition by APAX PARTNERS LLP (APAX) of exclusive control of IDEALISTA, S.A. (IDEALISTA), through the purchase of 100% of its shares, via a subsidiary, DRIVE THE CHANGE, S.A., in which APAX would indirectly control 91% of the share capital and the founders of IDEALISTA would hold the remaining 9%. (File No. C/0680/15 APAX/IDEALISTA),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as it pertains to Spain, the confidentiality agreement of the sellers, with an effect equivalent to a non-compete agreement, which is included in the purchase contract, shall be excluded from the authorization, to the extent that it exceeds two years from the execution of the concentration operation, being, where applicable, subject to the applicable regulations on agreements between companies. All of this in accordance with what is indicated in paragraph (14)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