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https://www.cnmc.es/expedientes/c068115</w:t>
      </w:r>
    </w:p>
    <w:p>
      <w:r>
        <w:t>Pages translated : 1</w:t>
      </w:r>
    </w:p>
    <w:p/>
    <w:p>
      <w:r>
        <w:rPr>
          <w:b/>
        </w:rPr>
        <w:t>[Pages 1–1]</w:t>
      </w:r>
    </w:p>
    <w:p>
      <w:r>
        <w:t>RESOLUTION</w:t>
        <w:br/>
        <w:t>(FILE NO. C/0681/15 BLITZ/STORA ENSO)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 2015</w:t>
        <w:br/>
        <w:t>Having reviewed the file processed in accordance with Law 15/2007, of July 3, on the Defense of Competition, concerning the acquisition by BLITZ 15-84 (BLITZ) of the entire share capital of STORA ENSO BARCELONA, S.A. (STORA ENSO) (File No. C/0681/15 BLITZ/STORA ENSO),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