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https://www.cnmc.es/expedientes/c068315</w:t>
      </w:r>
    </w:p>
    <w:p>
      <w:r>
        <w:t>Pages translated : 1</w:t>
      </w:r>
    </w:p>
    <w:p/>
    <w:p>
      <w:r>
        <w:rPr>
          <w:b/>
        </w:rPr>
        <w:t>[Pages 1–1]</w:t>
      </w:r>
    </w:p>
    <w:p>
      <w:r>
        <w:t>RESOLUTION</w:t>
        <w:br/>
        <w:t>(FILE NO. C/0683/15 PELAYO/AGROMUTUA –Assets-)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Barcelona, on September 29, 2015</w:t>
        <w:br/>
        <w:t>Having reviewed the file processed in accordance with Law 15/2007, of July 3, on the Defense of Competition, concerning the economic concentration operation consisting of the exclusive control acquisition of the assets linked to the agricultural insurance business of AGROMUTUA MAVDA, S.M.S.P.F. by PELAYO MUTUA DE SEGUROS Y REASEGUROS A PRIMA FIJA (“PELAYO”). (File No. C/0683/15 PELAYO/AGROMUTUA -Assets-),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