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https://www.cnmc.es/expedientes/c068415</w:t>
      </w:r>
    </w:p>
    <w:p>
      <w:r>
        <w:t>Pages translated : 1</w:t>
      </w:r>
    </w:p>
    <w:p/>
    <w:p>
      <w:r>
        <w:rPr>
          <w:b/>
        </w:rPr>
        <w:t>[Pages 1–1]</w:t>
      </w:r>
    </w:p>
    <w:p>
      <w:r>
        <w:t>RESOLUTION</w:t>
        <w:br/>
        <w:t>(FILE NO. C/0684/15 SUN CAPITAL/FLABEG)</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September 1, 2015</w:t>
        <w:br/>
        <w:t>Having reviewed the file processed in accordance with Law 15/2007, of July 3, on the Defense of Competition, concerning the acquisition by SUN CAPITAL PARTNERS, INC. (SUN CAPITAL) of exclusive control of FLABEG DEUTSCHLAND, GMBH (FLABEG), through the purchase of 100% of its share capital, via an investment fund managed by SUN CAPITAL, which in turn uses a special purpose vehicle to implement the transaction (File No. C/0684/15 SUN CAPITAL/FLABEG),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