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https://www.cnmc.es/expedientes/c068615</w:t>
      </w:r>
    </w:p>
    <w:p>
      <w:r>
        <w:t>Pages translated : 1</w:t>
      </w:r>
    </w:p>
    <w:p/>
    <w:p>
      <w:r>
        <w:rPr>
          <w:b/>
        </w:rPr>
        <w:t>[Pages 1–1]</w:t>
      </w:r>
    </w:p>
    <w:p>
      <w:r>
        <w:t>RESOLUTION</w:t>
        <w:br/>
        <w:t>(CASE FILE C/0686/15 888/BWIN)</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September 17, 2015</w:t>
        <w:br/>
        <w:t>Having reviewed the case file processed in accordance with Law 15/2007, of July 3, on the Defense of Competition, concerning the acquisition of exclusive control of BWIN PARTY DIGITAL ENTERTAINMENT PLC (BWIN) by 888 HOLDINGS PLC (888), through a public acquisition offer structured via a framework agreement. (Case File C/0686/15 888/BWIN), and in agreement with the report and proposal submitted by the Competition Directorate, the Competition Chamber of the National Commission on Markets and Competition has resolved to archive the concentration operation in application of Article 57.2.e) of Law 15/2007, of July 3, on the Defense of Competition.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