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https://www.cnmc.es/expedientes/c068715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(FILE NO. C/0687/15 RHÔNE/HEXION)</w:t>
        <w:br/>
        <w:t>COMPETITION CHAMBER</w:t>
        <w:br/>
        <w:t>President</w:t>
        <w:br/>
        <w:t>Mr. José María Marín Quemada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Barcelona, on September 29, 2015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by RHÔNE CAPITAL LLC (RHÔNE CAPITAL),</w:t>
        <w:br/>
        <w:t>through its controlled company ASK Chemicals GmbH (ASK), of exclusive control</w:t>
        <w:br/>
        <w:t>over certain commercial and intangible assets of the HEXION group (HEXION</w:t>
        <w:br/>
        <w:t>Assets). (File No. C/0687/15 RHÔNE/HEXION), and in agreement with the report and</w:t>
        <w:br/>
        <w:t>the proposal submitted by the Directorate of Competition, the Competition Chamber of</w:t>
        <w:br/>
        <w:t>the National Commission on Markets and Competition has resolved, in</w:t>
        <w:br/>
        <w:t>application of Article 57.2.a) of the aforementioned Law, to authorize the said</w:t>
        <w:br/>
        <w:t>concentration operation. Also, taking into account the Communication from the European</w:t>
        <w:br/>
        <w:t>Commission on restrictions directly linked to the execution of a concentration and</w:t>
        <w:br/>
        <w:t>necessary for that purpose (2005/C 56/03) and the practice of national competition</w:t>
        <w:br/>
        <w:t>authorities, this Chamber considers that the duration of the Subcontracting Agreement</w:t>
        <w:br/>
        <w:t>goes beyond what is reasonably required by the notified concentration operation,</w:t>
        <w:br/>
        <w:t>therefore, anything that exceeds the timeframes established in the Communication will</w:t>
        <w:br/>
        <w:t>be considered outside the operation and subject, therefore, to the regulations on</w:t>
        <w:br/>
        <w:t>agreements between companies. All of this in accordance with what is stated in</w:t>
        <w:br/>
        <w:t>paragraph (22) of the aforementioned report proposal from the Directorate of</w:t>
        <w:br/>
        <w:t>Competition.</w:t>
      </w:r>
    </w:p>
    <w:p>
      <w:r>
        <w:t>This Resolution shall be communicated to the Directorate of Competition of the</w:t>
        <w:br/>
        <w:t>National Commission on Markets and Competition and notified to the interested party,</w:t>
        <w:br/>
        <w:t>informing them that it concludes the administrative procedure and that a contentious</w:t>
        <w:br/>
        <w:t>administrative appeal may be filed against it before the National Court, within two</w:t>
        <w:br/>
        <w:t>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