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https://www.cnmc.es/expedientes/c068815</w:t>
      </w:r>
    </w:p>
    <w:p>
      <w:r>
        <w:t>Pages translated : 2</w:t>
      </w:r>
    </w:p>
    <w:p/>
    <w:p>
      <w:r>
        <w:rPr>
          <w:b/>
        </w:rPr>
        <w:t>[Pages 1–2]</w:t>
      </w:r>
    </w:p>
    <w:p>
      <w:r>
        <w:t>RESOLUTION</w:t>
        <w:br/>
        <w:t>(FILE NO. C/0688/15 SMART/DAKOTA)</w:t>
        <w:br/>
        <w:t>COMPETITION CHAMBER</w:t>
        <w:br/>
        <w:t>President</w:t>
        <w:br/>
        <w:t>Mr. José María Marín Quemada</w:t>
        <w:br/>
        <w:t>Counselors</w:t>
        <w:br/>
        <w:t>Ms. María Ortiz Aguilar</w:t>
        <w:br/>
        <w:t>Mr. Fernando Torremocha y García-Sáenz</w:t>
        <w:br/>
        <w:t>Mr. Benigno Valdés Díaz</w:t>
        <w:br/>
        <w:t>Ms. Idoia Zenarrutzabeitia Beldarraín</w:t>
        <w:br/>
        <w:t>Secretary</w:t>
        <w:br/>
        <w:t>Mr. Tomás Suárez-Inclán González</w:t>
        <w:br/>
        <w:t>In Madrid, on September 17, 2015</w:t>
        <w:br/>
        <w:t>Having reviewed the file processed in accordance with Law 15/2007, of July 3, on the Defense of Competition, consisting of the acquisition by Smartbox Experience Limited (SMARTBOX) of 100% of the share capital of the French company Dakota Editions S.A.S. (DAKOTA) and, indirectly, 100% of the share capital of its Spanish subsidiary Dakota Box Regalo y Ocio, S.L. (DAKOTA BOX) and its Slovenian subsidiary SRL Zvezdar DOO (ZVEZDAR DOO), all controlled by Dakota Développement, S.A.S. (File No. C/0688/15 SMART/DAKOTA), and being in agreement with the report and proposal submitted by the Directorate of Competition, the Competition Chamber of the National Commission on Markets and Competition has resolved, in application of Article 57.2.a) of the aforementioned Law, to authorize the said concentration operation. Furthermore, taking into account the Communication from the European Commission on restrictions directly linked to the execution of a concentration and necessary for that purpose (2005/C 56/03) and the practice of national competition authorities, this Competition Chamber considers that in relation to the non-competition and non-solicitation agreement, as it exclusively affects Spain, any acquisition or holding of shares in a company that competes with the acquired company for exclusively financial investment purposes that does not confer directly or indirectly management functions or substantial influence in the competing company, and any duration of such agreements that exceeds two years from the closing of the operation, will be considered outside the operation and therefore subject to the regulations on agreements between companies. All of this in accordance with what is stated in paragraph (20) of the aforementioned report proposal from the Directorate of Competition.</w:t>
      </w:r>
    </w:p>
    <w:p>
      <w:r>
        <w:t>This Resolution shall be communicated to the Directorate of Competition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