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https://www.cnmc.es/expedientes/c069215</w:t>
      </w:r>
    </w:p>
    <w:p>
      <w:r>
        <w:t>Pages translated : 2</w:t>
      </w:r>
    </w:p>
    <w:p/>
    <w:p>
      <w:r>
        <w:rPr>
          <w:b/>
        </w:rPr>
        <w:t>[Pages 1–2]</w:t>
      </w:r>
    </w:p>
    <w:p>
      <w:r>
        <w:t>RESOLUTION</w:t>
        <w:br/>
        <w:t>(FILE C/0692/15 GENZYME/ASTRAZENECA ASSETS)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17, 2015</w:t>
        <w:br/>
        <w:t>Having reviewed the file processed in accordance with Law 15/2007, of July 3, on the Defense of Competition, concerning the acquisition of exclusive control by Genzyme Corporation (GENZYME) of the assets sold by Astrazeneca UK Limited (ASTRAZENECA UK) related to the product marketed as Caprelsa, which is owned by the group of companies to which the seller belongs and contains the compound known as vandetanib (Caprelsa Assets), (File C/0692/15 GENZYME/ASTRAZENECA ASSETS),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the authorization shall exclude, with respect to the confidentiality clause, the period exceeding three years, and consequently, it shall be subject to the regulations on agreements between companies. All of this in accordance with what is stated in paragraph (13) of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