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https://www.cnmc.es/expedientes/c069315</w:t>
      </w:r>
    </w:p>
    <w:p>
      <w:r>
        <w:t>Pages translated : 2</w:t>
      </w:r>
    </w:p>
    <w:p/>
    <w:p>
      <w:r>
        <w:rPr>
          <w:b/>
        </w:rPr>
        <w:t>[Pages 1–2]</w:t>
      </w:r>
    </w:p>
    <w:p>
      <w:r>
        <w:t>RESOLUTION</w:t>
        <w:br/>
        <w:t>(FILE C/0693/15 QUIMICAS DEL EBRO / PEROXYCHEM)</w:t>
        <w:br/>
        <w:t>COMPETITION CHAMBER</w:t>
        <w:br/>
        <w:t>President</w:t>
        <w:br/>
        <w:t>Mr. José María Marín Quemada</w:t>
        <w:br/>
        <w:t>Counselors</w:t>
        <w:br/>
        <w:t>Ms. María Ortiz Aguilar</w:t>
        <w:br/>
        <w:t>Mr. Fernando Torremocha y García-Sáenz</w:t>
        <w:br/>
        <w:t>Mr. Benigno Valdés Díaz</w:t>
        <w:br/>
        <w:t>Ms. Idoia Zenarrutzabeitia Beldarraín</w:t>
        <w:br/>
        <w:t>Secretary</w:t>
        <w:br/>
        <w:t>Mr. Tomás Suárez-Inclán González</w:t>
        <w:br/>
        <w:t>In Barcelona, on September 29, 2015</w:t>
        <w:br/>
        <w:t>Having reviewed the file processed in accordance with Law 15/2007, of July 3, on the Defense of Competition, concerning the economic concentration consisting of the acquisition by INDUSTRIAS QUÍMICAS DEL EBRO, S.A. (IQE) of (i) 100% of the share capital of PEROXYCHEM BILBAO, S.L.U., and (ii) the business and assets related to the silicates activity of PEROXYCHEM SPAIN, S.L.U., (File C/0693/15 QUIMICAS DEL EBRO / PEROXYCHEM), and being in agreement with the report and proposal submitted by the Competition Directorate, the Competition Chamber of the National Commission on Markets and Competition has resolved, in application of Article 57.2.a) of the aforementioned Law, to authorize the said concentration operation. Furthermore, taking into account the practice of the CNMC and what is established in the Commission Communication on restrictions directly linked to the execution of a concentration and necessary for that purpose (2005/C 56/03), this Competition Chamber considers that it must be excluded from the authorization regarding the confidentiality clause, to the extent that it establishes an obligation of confidentiality concerning all commercially considered information, any term exceeding three years, and will be subject to the regulations regarding agreements between companies. All of this in accordance with what is indicated in paragraphs (19) (20) and (21) of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