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https://www.cnmc.es/expedientes/c069415</w:t>
      </w:r>
    </w:p>
    <w:p>
      <w:r>
        <w:t>Pages translated : 2</w:t>
      </w:r>
    </w:p>
    <w:p/>
    <w:p>
      <w:r>
        <w:rPr>
          <w:b/>
        </w:rPr>
        <w:t>[Pages 1–2]</w:t>
      </w:r>
    </w:p>
    <w:p>
      <w:r>
        <w:t>RESOLUTION</w:t>
        <w:br/>
        <w:t>(FILE NO. C/0694/15 HOPSTEINER/S.A.E.F.L.)</w:t>
        <w:br/>
        <w:t>COMPETITION CHAMBER</w:t>
        <w:br/>
        <w:t>President</w:t>
        <w:br/>
        <w:t>Mr. José María Marín Quemada</w:t>
        <w:br/>
        <w:t>Counselors</w:t>
        <w:br/>
        <w:t>Ms. María Ortiz Aguilar</w:t>
        <w:br/>
        <w:t>Mr. Benigno Valdés Díaz</w:t>
        <w:br/>
        <w:t>Ms. Idoia Zenarrutzabeitia Beldarraín</w:t>
        <w:br/>
        <w:t>Secretary</w:t>
        <w:br/>
        <w:t>Mr. Tomás Suárez-Inclán González</w:t>
        <w:br/>
        <w:t>In Madrid, on October 8, 2015</w:t>
      </w:r>
    </w:p>
    <w:p>
      <w:r>
        <w:t>Having reviewed the file processed in accordance with Law 15/2007, of July 3, on the Defense of Competition, concerning the economic concentration operation consisting of the acquisition by SIMON H. STEINER, HOPFEN, GmbH (HOPSTEINER) of 80% of the share capital of the SOCIEDAD ANONIMA ESPAÑOLA DE FOMENTO DEL LÚPULO (SAEFL), through the sale of the same by its current owners, except for the 20% corresponding to the SOCIEDAD AGRARIA DE TRANSFORMACIÓN 6594 – GRUPO DE CULTIVADORES DEL LÚPULO (SAT).</w:t>
      </w:r>
    </w:p>
    <w:p>
      <w:r>
        <w:t>(File No. C/0694/15 HOPSTEINER/S.A.E.F.L),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Furthermore, taking into account the practice of the CNMC and what is established in the Commission Communication on restrictions directly linked to the execution of a concentration and necessary for that purpose (2005/C 56/03), this Competition Chamber considers that the period exceeding the five-year duration established in the Communication must be excluded from the operation, regarding the purchase and supply obligation clause, and will therefore be subject to the regulations on agreements between companies. All of this in accordance with what is indicated in paragraphs (24) (25) of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