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https://www.cnmc.es/expedientes/c069515</w:t>
      </w:r>
    </w:p>
    <w:p>
      <w:r>
        <w:t>Pages translated : 2</w:t>
      </w:r>
    </w:p>
    <w:p/>
    <w:p>
      <w:r>
        <w:rPr>
          <w:b/>
        </w:rPr>
        <w:t>[Pages 1–2]</w:t>
      </w:r>
    </w:p>
    <w:p>
      <w:r>
        <w:t>RESOLUTION</w:t>
        <w:br/>
        <w:t>(FILE NO. C/0695/15 SARQUAVITAE/SACOVA)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Barcelona, on September 29, 2015</w:t>
        <w:br/>
        <w:t>Having reviewed the file processed in accordance with Law 15/2007, of July 3, on the Defense of Competition, regarding the exclusive control acquisition of SACOVA CENTROS RESIDENCIALES, S.L.U. (“SACOVA”) by SARQUAVITAE SERVICIOS A LA DEPENDENCIA, S.L. (“SARQUAVITAE”). (File No. C/0695/15 SARQUAVITAE/SACOVA),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 Furthermore, taking into account the practice of the CNMC and what is established in the Commission Communication on restrictions directly linked to the execution of a concentration and necessary for that purpose (2005/C 56/03), this Competition Chamber considers that the non-solicitation agreement is not part of the operation insofar as it does not affect the holding of shares in a company that competes with the acquired company for exclusively financial investment purposes that do not confer directly or indirectly management functions or substantial influence on the competing company and that the non-competition and non-solicitation agreements also do not form part of the operation to the extent that they exceed a duration of two years from the closing of the operation. All of this in accordance with what is indicated in the aforementioned report proposal from the Competition Directorate.</w:t>
      </w:r>
    </w:p>
    <w:p>
      <w:r>
        <w:t>This Resolution shall be communicated to the Competition Directorate of the National Commission of Markets and Competition and notified to the interested party, informing them that it concludes the administrative route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