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https://www.cnmc.es/expedientes/c069615</w:t>
      </w:r>
    </w:p>
    <w:p>
      <w:r>
        <w:t>Pages translated : 2</w:t>
      </w:r>
    </w:p>
    <w:p/>
    <w:p>
      <w:r>
        <w:rPr>
          <w:b/>
        </w:rPr>
        <w:t>[Pages 1–2]</w:t>
      </w:r>
    </w:p>
    <w:p>
      <w:r>
        <w:t>RESOLUTION</w:t>
        <w:br/>
        <w:t>(FILE C/0696/15 NOMAD FOODS/FINDUS SVERIGE)</w:t>
        <w:br/>
        <w:t>COMPETITION CHAMBER</w:t>
        <w:br/>
        <w:t>President</w:t>
        <w:br/>
        <w:t>Mr. José María Marín Quemada</w:t>
        <w:br/>
        <w:t>Counselors</w:t>
        <w:br/>
        <w:t>Ms. María Ortiz Aguilar</w:t>
        <w:br/>
        <w:t>Mr. Benigno Valdés Díaz</w:t>
        <w:br/>
        <w:t>Ms. Idoia Zenarrutzabeitia Beldarraín</w:t>
        <w:br/>
        <w:t>Secretary</w:t>
        <w:br/>
        <w:t>Mr. Tomás Suárez-Inclán González</w:t>
        <w:br/>
        <w:t>In Madrid, on October 8, 2015</w:t>
        <w:br/>
        <w:t>Having reviewed the file processed in accordance with Law 15/2007, of July 3, on the Defense of Competition, concerning the economic concentration operation consisting of the acquisition by NOMAD FOODS LIMITED (NOMAD) of exclusive control over FINDUS SVERIGE, AB (FINDUS), which is part of the FINDUS GROUP. NOMAD acquires the Western European business of the FINDUS GROUP and the FINDUS brand. (File C/0696/15 NOMAD FOODS/FINDUS SVERIGE), and in agreement with the report and proposal submitted by the Directorate of Competition, the Competition Chamber of the National Commission on Markets and Competition has resolved, in application of Article 57.2.a) of the aforementioned Law, to authorize the said concentration operation. Likewise, taking into account the practice of the CNMC and what is established in the Commission Communication on restrictions directly linked to the execution of a concentration and necessary for that purpose (2005/C 56/03), this Competition Chamber considers that the duration of the confidentiality clause goes beyond what is reasonably required by the concentration operation notified, so that anything exceeding the timeframes established in the Communication, that is, three years, as well as the restriction on any acquisition or holding of shares, above 3%, for exclusively financial investment purposes that do not confer directly or indirectly management functions or substantial influence in the competing company, will be considered outside the operation and therefore subject to the regulations on agreements between companies. All of this in accordance with what is indicated in the aforementioned report proposal from the Directorate of Competition.</w:t>
      </w:r>
    </w:p>
    <w:p>
      <w:r>
        <w:t>This Resolution shall be communicated to the Directorate of Competition of the National Commission on Markets and Competition and notified to the interested party, informing them that it concludes the administrative process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