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https://www.cnmc.es/expedientes/c069815</w:t>
      </w:r>
    </w:p>
    <w:p>
      <w:r>
        <w:t>Pages translated : 1</w:t>
      </w:r>
    </w:p>
    <w:p/>
    <w:p>
      <w:r>
        <w:rPr>
          <w:b/>
        </w:rPr>
        <w:t>[Pages 1–1]</w:t>
      </w:r>
    </w:p>
    <w:p>
      <w:r>
        <w:t>RESOLUTION</w:t>
        <w:br/>
        <w:t>(FILE C/0698/15 GACM/RACC SEGUROS)</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November 19, 2015</w:t>
        <w:br/>
        <w:t>Having reviewed the file processed in accordance with Law 15/2007, of July 3, on the Defense of Competition, consisting of the exclusive control of RACC Seguros, Compañía de Seguros y Reaseguros, S.A. (hereinafter, RACC SEGUROS) by GACM España, S.A. Unipersonal (hereinafter, GACM España), which already controlled it jointly with Automóbil Club Assistència, S.A.U. (hereinafter, ACASA), belonging to the RACC Group. (File C/0698/15 GACM/RACC SEGUROS), and being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