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https://www.cnmc.es/expedientes/c069915</w:t>
      </w:r>
    </w:p>
    <w:p>
      <w:r>
        <w:t>Pages translated : 2</w:t>
      </w:r>
    </w:p>
    <w:p/>
    <w:p>
      <w:r>
        <w:rPr>
          <w:b/>
        </w:rPr>
        <w:t>[Pages 1–2]</w:t>
      </w:r>
    </w:p>
    <w:p>
      <w:r>
        <w:t>RESOLUTION</w:t>
        <w:br/>
        <w:t>(FILE C/0699/15 PORTOBELLO/IBERCONSA)</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October 29, 2015</w:t>
        <w:br/>
        <w:t>Having reviewed the file processed in accordance with Law 15/2007, of July 3, on the Defense of Competition, consisting of the exclusive control acquisition of GRUPO IBERICA DE CONGELADOS, S.A. (“IBERCONSA”) by PORTOBELLO CAPITAL GESTION, S.G.E.I.C. (“PORTOBELLO”). (File C/0699/15 PORTOBELLO/IBERCONSA),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 Likewise, taking into account the practice of the CNMC and what is established in the Commission Communication on restrictions directly linked to the execution of a concentration and necessary for that purpose (2005/C 56/03), this Competition Chamber considers that the non-competition and non-solicitation agreements do not form part of the operation. All of this in accordance with what is indicated in paragraph (11) of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