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https://www.cnmc.es/expedientes/c070015</w:t>
      </w:r>
    </w:p>
    <w:p>
      <w:r>
        <w:t>Pages translated : 1</w:t>
      </w:r>
    </w:p>
    <w:p/>
    <w:p>
      <w:r>
        <w:rPr>
          <w:b/>
        </w:rPr>
        <w:t>[Pages 1–1]</w:t>
      </w:r>
    </w:p>
    <w:p>
      <w:r>
        <w:t>RESOLUTION</w:t>
        <w:br/>
        <w:t>(FILE NO. C/0700/15 RENALETO/RENOVALIA)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October 22, 2015</w:t>
      </w:r>
    </w:p>
    <w:p>
      <w:r>
        <w:t>Having reviewed the file processed in accordance with Law 15/2007, of July 3, on the Defense of Competition, concerning the acquisition by the CERBERUS GROUP, through its subsidiary RENALETO SERVICIOS Y GESTIONES, S.L. (hereinafter, RENALETO), of exclusive control over RENOVALIA ENERGY, S.A. (hereinafter, RENOVALIA). (File No. C/0700/15 RENALETO/RENOVALIA),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