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https://www.cnmc.es/expedientes/c070115</w:t>
      </w:r>
    </w:p>
    <w:p>
      <w:r>
        <w:t>Pages translated : 1</w:t>
      </w:r>
    </w:p>
    <w:p/>
    <w:p>
      <w:r>
        <w:rPr>
          <w:b/>
        </w:rPr>
        <w:t>[Pages 1–1]</w:t>
      </w:r>
    </w:p>
    <w:p>
      <w:r>
        <w:t>RESOLUTION</w:t>
        <w:br/>
        <w:t>(FILE NO. C/0701/15 PSP/SOCIEDAD A4)</w:t>
        <w:br/>
        <w:t>COMPETITION CHAMBER</w:t>
      </w:r>
    </w:p>
    <w:p>
      <w:r>
        <w:t>President</w:t>
        <w:br/>
        <w:t>Mr. José María Marín Quemada</w:t>
      </w:r>
    </w:p>
    <w:p>
      <w:r>
        <w:t>Counselors</w:t>
        <w:br/>
        <w:t>Ms. María Ortiz Aguilar</w:t>
        <w:br/>
        <w:t>Mr. Fernando Torremocha y García-Sáenz</w:t>
        <w:br/>
        <w:t>Mr. Benigno Valdés Díaz</w:t>
        <w:br/>
        <w:t>Ms. Idoia Zenarrutzabeitia Beldarraín</w:t>
      </w:r>
    </w:p>
    <w:p>
      <w:r>
        <w:t>Secretary</w:t>
        <w:br/>
        <w:t>Mr. Tomás Suárez-Inclán González</w:t>
      </w:r>
    </w:p>
    <w:p>
      <w:r>
        <w:t>In Madrid, on October 22, 2015</w:t>
      </w:r>
    </w:p>
    <w:p>
      <w:r>
        <w:t>Having reviewed the file processed in accordance with Law 15/2007, of July 3, on the Defense of Competition, concerning the acquisition by PUBLIC SECTOR PENSION INVESTMENT BOARD (PSP) of exclusive control over SOCIEDAD CONCESIONARIA DE LA AUTOVIA A-4 MADRID, S.A. (SOCIEDAD A4) as a result of the dissolution of the company Isolux Infrastructure Netherlands BV and the distribution of its assets between its two parent companies, the Isolux Corsan Group and PSP, which held joint control over the company subject to the notified concentration (File No. C/0701/15 PSP/SOCIEDAD A4), and being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