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https://www.cnmc.es/expedientes/c070215</w:t>
      </w:r>
    </w:p>
    <w:p>
      <w:r>
        <w:t>Pages translated : 1</w:t>
      </w:r>
    </w:p>
    <w:p/>
    <w:p>
      <w:r>
        <w:rPr>
          <w:b/>
        </w:rPr>
        <w:t>[Pages 1–1]</w:t>
      </w:r>
    </w:p>
    <w:p>
      <w:r>
        <w:t>RESOLUTION</w:t>
        <w:br/>
        <w:t>(FILE NO. C/0702/15 AMBUIBÉRICA / AMBULANCIAS RODRIGO / EMERGENCIAS SANITARIAS)</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October 29, 2015</w:t>
        <w:br/>
        <w:t>Having reviewed the file processed in accordance with Law 15/2007, of July 3, on the Defense of Competition, regarding the economic concentration operation consisting of the acquisition of exclusive control of AMBULANCIAS RODRIGO, S.L. (hereinafter, AMBULANCIAS RODRIGO) and EMERGENCIAS SANITARIAS, S.A. (hereinafter, EMERGENCIAS SANITARIAS) by E-CENTER NETWORK CASTILLA Y LEÓN, S.L., (hereinafter, GRUPO AMBUIBÉRICA). (File No. C/0702/15 AMBUIBÉRICA / AMBULANCIAS RODRIGO / EMERGENCIAS SANITARIAS),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