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https://www.cnmc.es/expedientes/c070315</w:t>
      </w:r>
    </w:p>
    <w:p>
      <w:r>
        <w:t>Pages translated : 1</w:t>
      </w:r>
    </w:p>
    <w:p/>
    <w:p>
      <w:r>
        <w:rPr>
          <w:b/>
        </w:rPr>
        <w:t>[Pages 1–1]</w:t>
      </w:r>
    </w:p>
    <w:p>
      <w:r>
        <w:t>RESOLUTION</w:t>
        <w:br/>
        <w:t>(FILE NO. C/0703/15 BIMBO/PANRICO)</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December 3, 2015</w:t>
      </w:r>
    </w:p>
    <w:p>
      <w:r>
        <w:t>Having reviewed the file processed in accordance with Law 15/2007, of July 3, on the Defense of Competition, consisting, according to the notifier, of the acquisition by BAKERY IBERIAN INVESTMENTS, S.L. (BII), the Spanish subsidiary of GRUPO BIMBO, S.A.B. de C.V. (GRUPO BIMBO), of the entire share capital of PANRICO S.A.U. (PANRICO) following the exclusion and segregation of the packaged bread business and bread substitutes with manufacturer brands (MDF) which will remain under the control of the seller, the investment fund OAKTREE. (File No. C0703/15 BIMBO/PANRICO), and being in agreement with the report and proposal submitted by the Directorate of Competition, the Competition Chamber of the National Commission on Markets and Competition has resolved to archive the concentration operation in application of Articles 44.d) and 57.2.e) of Law 15/2007, of July 3, on the Defense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