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https://www.cnmc.es/expedientes/c070415</w:t>
      </w:r>
    </w:p>
    <w:p>
      <w:r>
        <w:t>Pages translated : 1</w:t>
      </w:r>
    </w:p>
    <w:p/>
    <w:p>
      <w:r>
        <w:rPr>
          <w:b/>
        </w:rPr>
        <w:t>[Pages 1–1]</w:t>
      </w:r>
    </w:p>
    <w:p>
      <w:r>
        <w:t>RESOLUTION</w:t>
        <w:br/>
        <w:t>(FILE NO. C/0704/15 SPRINGWATER/IMTECH)</w:t>
        <w:br/>
        <w:t>COMPETITION CHAMBER</w:t>
        <w:br/>
        <w:t>President</w:t>
        <w:br/>
        <w:t>Mr. José María Marín Quemada</w:t>
        <w:br/>
        <w:t>Counselors</w:t>
        <w:br/>
        <w:t>Ms. María Ortiz Aguilar</w:t>
        <w:br/>
        <w:t>Mr. Benigno Valdés Díaz</w:t>
        <w:br/>
        <w:t>Ms. Idoia Zenarrutzabeitia Beldarraín</w:t>
        <w:br/>
        <w:t>Secretary</w:t>
        <w:br/>
        <w:t>Mr. Tomás Suárez-Inclán González</w:t>
        <w:br/>
        <w:t>In Madrid, on November 5, 2015</w:t>
        <w:br/>
        <w:t xml:space="preserve">Having reviewed the file processed in accordance with Law 15/2007, of July 3, on the Defense of Competition, concerning the economic concentration operation consisting of the acquisition of exclusive control by SPRINGWATER CAPITAL LLC (SPRINGWATER) of 100% of the shares of IMTECH ESPAÑA MMI, S.A. (IMTECH), as well as its subsidiaries Imtech Spain S.L., Imtech Spain S.L.U. Agency in Chile S.A., Imtech Chile SPA, Imtech Perú S.A.C., Im Services Tech Maroc S.a.r.l. (collectively, the Acquired Companies), through the instrumental company Java Directorship S.L., in which the economic funds grouped by SPRINGWATER are combined to carry out the present operation. (File No. C/0704/15 SPRINGWATER/IMTECH), and being in agreement with the report and proposal submitted by the Directorate of Competition, the Competition Chamber of the National Commission of Markets and Competition has resolved, in application of Article 57.2.a) of the aforementioned Law, to authorize the said concentration operation. </w:t>
        <w:b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