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https://www.cnmc.es/expedientes/c070615</w:t>
      </w:r>
    </w:p>
    <w:p>
      <w:r>
        <w:t>Pages translated : 1</w:t>
      </w:r>
    </w:p>
    <w:p/>
    <w:p>
      <w:r>
        <w:rPr>
          <w:b/>
        </w:rPr>
        <w:t>[Pages 1–1]</w:t>
      </w:r>
    </w:p>
    <w:p>
      <w:r>
        <w:t>RESOLUTION</w:t>
        <w:br/>
        <w:t>(FILE C/0706/15 TERBERG/ROSROCA)</w:t>
        <w:br/>
        <w:t>COMPETITION CHAMBER</w:t>
        <w:br/>
        <w:t>President</w:t>
        <w:br/>
        <w:t>Mr. José María Marín Quemada</w:t>
        <w:br/>
        <w:t>Counselors</w:t>
        <w:br/>
        <w:t>Ms. María Ortiz Aguilar</w:t>
        <w:br/>
        <w:t>Mr. Fernando Torremocha y García - Sáenz</w:t>
        <w:br/>
        <w:t>Mr. Benigno Valdés Díaz</w:t>
        <w:br/>
        <w:t>Ms. Idoia Zenarrutzabeitia Beldarraín</w:t>
        <w:br/>
        <w:t>Secretary</w:t>
        <w:br/>
        <w:t>Mr. Tomás Suárez-Inclán González</w:t>
        <w:br/>
        <w:t>In Madrid, on November 12, 2015</w:t>
        <w:br/>
        <w:t>Having reviewed the file processed in accordance with Law 15/2007, of July 3, on the Defense of Competition, concerning the joint control acquisition by Terberg Environmental Holding B.V. (Terberg), Ros Roca Group, S.L. (RRG), and Deyá Capital, S.C.R. de Régimen Simplificado, S.A. (Deyá Capital) over Terberg Environmental B.V. (TENV) and Ros Roca Environment, S.L. (RRENV), through a NewCo, a commercial company in the United Kingdom to which they will contribute their shares. (File C/0706/15 TERBERG/ROSROCA),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