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https://www.cnmc.es/expedientes/c070715</w:t>
      </w:r>
    </w:p>
    <w:p>
      <w:r>
        <w:t>Pages translated : 2</w:t>
      </w:r>
    </w:p>
    <w:p/>
    <w:p>
      <w:r>
        <w:rPr>
          <w:b/>
        </w:rPr>
        <w:t>[Pages 1–2]</w:t>
      </w:r>
    </w:p>
    <w:p>
      <w:r>
        <w:t>RESOLUTION</w:t>
        <w:br/>
        <w:t>(FILE C/0707/15 EUSKALTEL / R CABLE)</w:t>
        <w:br/>
        <w:t>COMPETITION CHAMBER</w:t>
        <w:br/>
        <w:t>President</w:t>
        <w:br/>
        <w:t>Mr. José María Marín Quemada</w:t>
        <w:br/>
        <w:t>Counselors</w:t>
        <w:br/>
        <w:t>Ms. María Ortiz Aguilar</w:t>
        <w:br/>
        <w:t>Mr. Fernando Torremocha y García - Sáenz</w:t>
        <w:br/>
        <w:t>Mr. Benigno Valdés Díaz</w:t>
        <w:br/>
        <w:t>Ms. Idoia Zenarrutzabeitia Beldarraín</w:t>
        <w:br/>
        <w:t>Secretary</w:t>
        <w:br/>
        <w:t>Mr. Tomás Suárez-Inclán González</w:t>
        <w:br/>
        <w:t>In Madrid, on November 12, 2015</w:t>
        <w:br/>
        <w:t>Having reviewed the file processed in accordance with Law 15/2007, of July 3, on the Defense of Competition, concerning the acquisition by EUSKALTEL, S.A. (EUSKALTEL) of exclusive control of R CABLE Y TELECOMUNICACIONES GALICIA, S.A. (R CABLE) through the direct and indirect acquisition of 100% of the shares of R CABLE. (File C/0707/15 EUSKALTEL / R CABLE), and in agreement with the report and proposal submitted by the Competition Directorate, the Competition Chamber of the National Commission of Markets and Competition has resolved, in application of Article 57.2.a) of the aforementioned Law, to authorize the said concentration operation. Furthermore, taking into account the practice of the CNMC and what is established in the Commission Communication on restrictions directly linked to the execution of a concentration and necessary for that purpose (2005/C 56/03), this Competition Chamber considers that the confidentiality agreement of the sellers, with an effect equivalent to a non-compete agreement, which is included in the purchase contract, must be excluded from the authorization, to the extent that it exceeds two years from the execution of the concentration operation. All of this in accordance with what is indicated in the aforementioned report proposal of the Competition Directorate.</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