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https://www.cnmc.es/expedientes/c070815</w:t>
      </w:r>
    </w:p>
    <w:p>
      <w:r>
        <w:t>Pages translated : 2</w:t>
      </w:r>
    </w:p>
    <w:p/>
    <w:p>
      <w:r>
        <w:rPr>
          <w:b/>
        </w:rPr>
        <w:t>[Pages 1–2]</w:t>
      </w:r>
    </w:p>
    <w:p>
      <w:r>
        <w:t>RESOLUTION</w:t>
        <w:br/>
        <w:t>(FILE C/0708/15 PROSEGUR / MIV)</w:t>
        <w:br/>
        <w:t>COMPETITION CHAMBER</w:t>
        <w:br/>
        <w:t>President</w:t>
        <w:br/>
        <w:t>Mr. José María Marín Quemada</w:t>
        <w:br/>
        <w:t>Counselors</w:t>
        <w:br/>
        <w:t>Mr. Fernando Torremocha y García - Sáenz</w:t>
        <w:br/>
        <w:t>Mr. Benigno Valdés Díaz</w:t>
        <w:br/>
        <w:t>Ms. Idoia Zenarrutzabeitia Beldarraín</w:t>
        <w:br/>
        <w:t>Secretary</w:t>
        <w:br/>
        <w:t>Mr. Tomás Suárez-Inclán González</w:t>
        <w:br/>
        <w:t>In Madrid, on December 17, 2015</w:t>
        <w:br/>
        <w:t>Having reviewed the file processed in accordance with Law 15/2007, of July 3, on the Defense of Competition, concerning the acquisition by PROSEGUR SERVICIOS DE EFECTIVO ESPAÑA, S.L. (hereinafter, PROSEGUR), a subsidiary of PROSEGUR COMPAÑÍA DE SEGURIDAD, S.A., of exclusive control of MIV GESTIÓN, S.A. (hereinafter, MIV) through the purchase of its entire share capital, notification which gave rise to file C/0708/15 PROSEGUR/MIV. (File C/0708/15 PROSEGUR / MIV), and being in agreement with the report and proposal submitted by the Competition Directorate, the Competition Chamber of the National Commission of Markets and Competition has resolved, in application of Article 57.2.a) of the aforementioned Law, to authorize the said concentration operation. Likewise, taking into account the Communication from the European Commission regarding restrictions directly linked to the execution of a concentration and necessary for that purpose (2005/C 56/03) and the practice of national competition authorities, the non-competition, non-solicitation, and confidentiality clauses provided in the Purchase Agreement of September 30, 2015 and its annexes must be excluded from the authorization, insofar as they do not strictly refer to the material and geographical scope of MIV's operations as of the closing date of the operation (services forming part of the value chain of the international airport transport market for valuable goods originating from or destined for Spain and the Spanish geographical area) and during the first two years from the formalization of the concentration operation, to the extent that they are not considered ancillary restrictions to the notified concentration operation, remaining subject to the regulations on agreements between companies. All of this in accordance with what is stated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