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https://www.cnmc.es/expedientes/c070915</w:t>
      </w:r>
    </w:p>
    <w:p>
      <w:r>
        <w:t>Pages translated : 1</w:t>
      </w:r>
    </w:p>
    <w:p/>
    <w:p>
      <w:r>
        <w:rPr>
          <w:b/>
        </w:rPr>
        <w:t>[Pages 1–1]</w:t>
      </w:r>
    </w:p>
    <w:p>
      <w:r>
        <w:t>RESOLUTION</w:t>
        <w:br/>
        <w:t>(FILE C/0709/15 OAKTREE/EOLIA)</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November 26, 2015</w:t>
      </w:r>
    </w:p>
    <w:p>
      <w:r>
        <w:t>Having reviewed the file processed in accordance with Law 15/2007, of July 3, on the Defense of Competition, concerning the acquisition by OCM LUXEMBOURG OPPS X S.á.r.l. (OCM), an indirectly owned company of OAKTREE CAPITAL GROUP, LLC. and managed by OAKTREE CAPITAL MANAGEMENT, L.P., (both jointly OAKTREE) of exclusive control over EOLIA RENOVABLES DE INVERSIONES, SOCIEDAD DE CAPITAL RIESGO, S.A. (EOLIA). (File C/0709/15 OAKTREE/EOLIA), and in agreement with the report and the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