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https://www.cnmc.es/expedientes/c071015</w:t>
      </w:r>
    </w:p>
    <w:p>
      <w:r>
        <w:t>Pages translated : 2</w:t>
      </w:r>
    </w:p>
    <w:p/>
    <w:p>
      <w:r>
        <w:rPr>
          <w:b/>
        </w:rPr>
        <w:t>[Pages 1–2]</w:t>
      </w:r>
    </w:p>
    <w:p>
      <w:r>
        <w:t>RESOLUTION</w:t>
        <w:br/>
        <w:t>(FILE C/0710/15 REDEXIS/REPSOL BUTANO LPG Assets)</w:t>
        <w:br/>
        <w:t>COMPETITION CHAMBER</w:t>
        <w:br/>
        <w:t>President</w:t>
        <w:br/>
        <w:t>Mr. José María Marín Quemada</w:t>
        <w:br/>
        <w:t>Counselors</w:t>
        <w:br/>
        <w:t>Ms. María Ortiz Aguilar</w:t>
        <w:br/>
        <w:t>Mr. Fernando Torremocha y García - Sáenz</w:t>
        <w:br/>
        <w:t>Mr. Benigno Valdés Díaz</w:t>
        <w:br/>
        <w:t>Ms. Idoia Zenarrutzabeitia Beldarraín</w:t>
        <w:br/>
        <w:t>Secretary</w:t>
        <w:br/>
        <w:t>Mr. Tomás Suárez-Inclán González</w:t>
        <w:br/>
        <w:t>In Barcelona, on December 10, 2015</w:t>
        <w:br/>
        <w:t>Having reviewed the file processed in accordance with Law 15/2007, of July 3, on the Defense of Competition, concerning the acquisition by REDEXIS GAS, S.A. (hereinafter, REDEXIS), of 71,529 liquefied petroleum gas (hereinafter, LPG) supply points, owned by REPSOL BUTANO, S.A. (hereinafter, REPSOL BUTANO). (File C/0710/15 REDEXIS/REPSOL BUTANO LPG Assets),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the contracts signed with REPSOL BUTANO for the supply of bulk LPG, exceeding 5 years in duration, shall be excluded from the authorization, thus this restriction shall be subject to the regulations on agreements between companies. All of this in accordance with what is indicated in paragraph (15) of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