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https://www.cnmc.es/expedientes/c071115</w:t>
      </w:r>
    </w:p>
    <w:p>
      <w:r>
        <w:t>Pages translated : 2</w:t>
      </w:r>
    </w:p>
    <w:p/>
    <w:p>
      <w:r>
        <w:rPr>
          <w:b/>
        </w:rPr>
        <w:t>[Pages 1–2]</w:t>
      </w:r>
    </w:p>
    <w:p>
      <w:r>
        <w:t>RESOLUTION</w:t>
        <w:br/>
        <w:t>(FILE C/0711/15 APM TERMINALS/GRUP MARITIM TCB)</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December 17, 2015</w:t>
        <w:br/>
        <w:t>Having reviewed the file processed in accordance with Law 15/2007, of July 3, on the Defense of Competition, consisting of the exclusive control acquisition of GRUP MARITIM TCB, S.L. by APM TERMINALS, B.V, a subsidiary of the AP MOLLER MAERSK group. (File C/0711/15 APM TERMINALS/GRUP MARITIM TCB),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Likewise, taking into account the Communication of the European Commission on restrictions directly linked to the execution of a concentration and necessary for that purpose (2005/C 56/03) and the practice of national competition authorities, as it affects Spain, this Competition Chamber considers that non-competition and non-solicitation agreements are not considered an integral part of the operation insofar as they exceed two years.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