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https://www.cnmc.es/expedientes/c071315</w:t>
      </w:r>
    </w:p>
    <w:p>
      <w:r>
        <w:t>Pages translated : 1</w:t>
      </w:r>
    </w:p>
    <w:p/>
    <w:p>
      <w:r>
        <w:rPr>
          <w:b/>
        </w:rPr>
        <w:t>[Pages 1–1]</w:t>
      </w:r>
    </w:p>
    <w:p>
      <w:r>
        <w:t>RESOLUTION</w:t>
        <w:br/>
        <w:t>(FILE C/0713/15 HAYFIN/ITEVELESA)</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Madrid, on December 3, 2015</w:t>
        <w:br/>
        <w:t>Having reviewed the file processed in accordance with Law 15/2007, of July 3, on the Defense of Competition, concerning the exclusive control acquisition of GRUPO ITEVELESA, S.L. (“ITEVELESA”) by HAYFIN CAPITAL MANAGEMENT LLP (“HAYFIN”). (File C/0713/15 HAYFIN/ITEVELESA),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