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https://www.cnmc.es/expedientes/c071415</w:t>
      </w:r>
    </w:p>
    <w:p>
      <w:r>
        <w:t>Pages translated : 1</w:t>
      </w:r>
    </w:p>
    <w:p/>
    <w:p>
      <w:r>
        <w:rPr>
          <w:b/>
        </w:rPr>
        <w:t>[Pages 1–1]</w:t>
      </w:r>
    </w:p>
    <w:p>
      <w:r>
        <w:t>RESOLUTION</w:t>
        <w:br/>
        <w:t>(FILE C/0714/15 HIG CAPITAL/BEAUTY BELL)</w:t>
        <w:br/>
        <w:t>COMPETITION CHAMBER</w:t>
        <w:br/>
        <w:t>President</w:t>
        <w:br/>
        <w:t>Mr. José María Marín Quemada</w:t>
        <w:br/>
        <w:t>Counselors</w:t>
        <w:br/>
        <w:t>Ms. María Ortiz Aguilar</w:t>
        <w:br/>
        <w:t>Mr. Fernando Torremocha y García - Sáenz</w:t>
        <w:br/>
        <w:t>Mr. Benigno Valdés Díaz</w:t>
        <w:br/>
        <w:t>Ms. Idoia Zenarrutzabeitia Beldarraín</w:t>
        <w:br/>
        <w:t>Secretary</w:t>
        <w:br/>
        <w:t>Mr. Tomás Suárez-Inclán González</w:t>
        <w:br/>
        <w:t>In Barcelona, on December 10, 2015</w:t>
        <w:br/>
        <w:t>Having reviewed the file processed in accordance with Law 15/2007, of July 3, on the Defense of Competition, consisting of the exclusive control acquisition by H.I.G. Capital, L.L.C. (hereinafter H.I.G. CAPITAL) over The Beauty Bell Chain, S.L. (BEAUTY BELL) through the financial restructuring of the company's debt. (File C/0714/15 HIG CAPITAL/BEAUTY BELL),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