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https://www.cnmc.es/expedientes/c071515</w:t>
      </w:r>
    </w:p>
    <w:p>
      <w:r>
        <w:t>Pages translated : 2</w:t>
      </w:r>
    </w:p>
    <w:p/>
    <w:p>
      <w:r>
        <w:rPr>
          <w:b/>
        </w:rPr>
        <w:t>[Pages 1–2]</w:t>
      </w:r>
    </w:p>
    <w:p>
      <w:r>
        <w:t>RESOLUTION</w:t>
        <w:br/>
        <w:t>(FILE C/0715/15 SPRINGWATER / SGEL)</w:t>
        <w:br/>
        <w:t>COMPETITION CHAMBER</w:t>
        <w:br/>
        <w:t>President</w:t>
        <w:br/>
        <w:t>Mr. José María Marín Quemada</w:t>
        <w:br/>
        <w:t>Counselors</w:t>
        <w:br/>
        <w:t>Ms. María Ortiz Aguilar</w:t>
        <w:br/>
        <w:t>Mr. Fernando Torremocha y García - Sáenz</w:t>
        <w:br/>
        <w:t>Mr. Benigno Valdés Díaz</w:t>
        <w:br/>
        <w:t>Ms. Idoia Zenarrutzabeitia Beldarraín</w:t>
        <w:br/>
        <w:t>Secretary</w:t>
        <w:br/>
        <w:t>Mr. Tomás Suárez-Inclán González</w:t>
        <w:br/>
        <w:t>In Madrid, on December 17, 2015</w:t>
        <w:br/>
        <w:t>Having reviewed the file processed in accordance with Law 15/2007, of July 3, on the Defense of Competition, consisting of the acquisition of exclusive control by SPRINGWATER CAPITAL LLC (SPRINGWATER) over Sociedad General Española de Librería, Diarios, Revistas y Publicaciones, S.A.U. (SGEL), through the purchase of 100% of its share capital via a vehicle company, Espronceda Investment, S.L, controlled by SPRINGWATER. (File C/0715/15 SPRINGWATER / SGEL), and agreeing with the report and proposal submitted by the Directorate of Competition, the Competition Chamber of the National Commission of Markets and Competition has resolved, in application of Article 57.2.a) of the aforementioned Law, to authorize the said concentration operation. Likewise, taking into account the Communication from the European Commission regarding restrictions directly linked to the execution of a concentration and necessary for that purpose (2005/C 56/03) and the practice of national competition authorities, as it affects Spain, this Competition Chamber considers that the non-compete agreement of the sellers included in the purchase contract, to the extent that it exceeds two years from the execution of the concentration operation and relates to a geographical area or delineation of activities beyond those where the acquired entity currently operates, should be excluded from the authorization. All of this in accordance with what is indicated in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