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https://www.cnmc.es/expedientes/c071915</w:t>
      </w:r>
    </w:p>
    <w:p>
      <w:r>
        <w:t>Pages translated : 2</w:t>
      </w:r>
    </w:p>
    <w:p/>
    <w:p>
      <w:r>
        <w:rPr>
          <w:b/>
        </w:rPr>
        <w:t>[Pages 1–2]</w:t>
      </w:r>
    </w:p>
    <w:p>
      <w:r>
        <w:t>RESOLUTION</w:t>
        <w:br/>
        <w:t>C/0719/15 CONTINENTAL-VALEO 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February 4, 2016</w:t>
        <w:br/>
        <w:t>Having reviewed the file processed in accordance with Law 15/2007, of July 3, on the Defense of Competition, concerning the acquisition by Continental Automotive France, S.A.S. (CONTINENTAL) of exclusive control over the engine management systems business and various assets of Valeo Systemes de Controle Moteur S.A.S., Valeo Sistemas Automotivos LTDA, and Valeo Interior Controls Shenzhen Co LTD (VALEO) (File C/0719/15 CONTINENTAL-VALEO ASSETS), and in agreement with the report and the proposal submitted by the Directorate of Competition,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the non-compete agreement and the technology licensing contracts and reciprocal patent licenses, as they relate to ECUs for diesel engines, must be excluded from the authorization, as in this area they are not considered ancillary restrictions to the notified concentration operation, remaining subject to the regulations on agreements between companies. All of this in accordance with what is stated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