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https://www.cnmc.es/expedientes/c072015</w:t>
      </w:r>
    </w:p>
    <w:p>
      <w:r>
        <w:t>Pages translated : 1</w:t>
      </w:r>
    </w:p>
    <w:p/>
    <w:p>
      <w:r>
        <w:rPr>
          <w:b/>
        </w:rPr>
        <w:t>[Pages 1–1]</w:t>
      </w:r>
    </w:p>
    <w:p>
      <w:r>
        <w:t>RESOLUTION</w:t>
        <w:br/>
        <w:t>CASE FILE C-0720/15 BLACKSTONE / ARMACELL</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January 21, 2016</w:t>
        <w:br/>
        <w:t>Having reviewed the case file processed in accordance with Law 15/2007, of July 3, on the Defense of Competition, consisting of the acquisition by BLACKSTONE GROUP L.P., through the newly created company LUXEMBOURG INVESTMENT COMPANY 1 S.Á.R.L (COMPANY 1), of exclusive control of ARMACELL INTERNATIONAL S.A., LUXEMBOURG. (Case File C-0720/15 BLACKSTONE / ARMACELL),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