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https://www.cnmc.es/expedientes/c072115</w:t>
      </w:r>
    </w:p>
    <w:p>
      <w:r>
        <w:t>Pages translated : 1</w:t>
      </w:r>
    </w:p>
    <w:p/>
    <w:p>
      <w:r>
        <w:rPr>
          <w:b/>
        </w:rPr>
        <w:t>[Pages 1–1]</w:t>
      </w:r>
    </w:p>
    <w:p>
      <w:r>
        <w:t>RESOLUTION</w:t>
        <w:br/>
        <w:t>CASE FILE C-0721/15 CLARIANT / KILFROST (ASSETS)</w:t>
        <w:br/>
        <w:t>COMPETITION CHAMBER</w:t>
        <w:br/>
        <w:t>President</w:t>
        <w:br/>
        <w:t>Mr. José María Marín Quemada</w:t>
        <w:br/>
        <w:t>Counselors</w:t>
        <w:br/>
        <w:t>Mr. Josep Maria Guinart Solà</w:t>
        <w:br/>
        <w:t>Ms. María Ortiz Aguilar</w:t>
        <w:br/>
        <w:t>Fernando Torremocha y García-Sáenz</w:t>
        <w:br/>
        <w:t>Mr. Benigno Valdés Díaz</w:t>
        <w:br/>
        <w:t>Secretary</w:t>
        <w:br/>
        <w:t>Mr. Tomás Suárez-Inclán González</w:t>
        <w:br/>
        <w:t>In Madrid, on January 28, 2016</w:t>
        <w:br/>
        <w:t>Having reviewed the case file processed in accordance with Law 15/2007, of July 3, on the Defense of Competition, consisting of the acquisition by CLARIANT INTERNATIONAL AG, CLARIANT PRODUKTE GMBH, and CLARIANT PRODUCTIONS UK LIMITED (CLARIANT) of the assets of the companies KILFROST LIMITED and KILFROST GROUP PUBLIC LIMITED COMPANY (KILFROST) related to the business of de/anti-icing fluids for aeronautical (ADF) and railway (RDF) applications in Europe, with the exception of the countries of the former Soviet Union except for Russia. (Case File C-0721/15 CLARIANT / KILFROST (ASSETS),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