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https://www.cnmc.es/expedientes/c072316</w:t>
      </w:r>
    </w:p>
    <w:p>
      <w:r>
        <w:t>Pages translated : 1</w:t>
      </w:r>
    </w:p>
    <w:p/>
    <w:p>
      <w:r>
        <w:rPr>
          <w:b/>
        </w:rPr>
        <w:t>[Pages 1–1]</w:t>
      </w:r>
    </w:p>
    <w:p>
      <w:r>
        <w:t>RESOLUTION</w:t>
        <w:br/>
        <w:t>CASE FILE C/0723/16 ALAIN DE KRASSNY/KEM ONE SAS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January 28, 2016</w:t>
      </w:r>
    </w:p>
    <w:p>
      <w:r>
        <w:t>Having reviewed the case file processed in accordance with Law 15/2007, of July 3, on the Defense of Competition, concerning the acquisition of exclusive control by Alain de Krassny over Kem One SAS, over which he already held joint control together with OpenGate Capital. After the transaction, K1 Group SAS (sole owner of Kem One SAS) will be owned 90% by Krassny AG (solely owned by Alain de Krassny) and 10% by K1 International Sarl (solely owned by OpenGate Capital). (Case File C/0723/16 ALAIN DE KRASSNY/KEM ONE SAS),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this Chamber considers that the obligation to purchase and supply included in the Protocol should be excluded from the authorization, considering the timeframe contemplated and the terms thereof, thus leaving said restriction subject to the regulations on agreements between companies.</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