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https://www.cnmc.es/expedientes/c072416</w:t>
      </w:r>
    </w:p>
    <w:p>
      <w:r>
        <w:t>Pages translated : 1</w:t>
      </w:r>
    </w:p>
    <w:p/>
    <w:p>
      <w:r>
        <w:rPr>
          <w:b/>
        </w:rPr>
        <w:t>[Pages 1–1]</w:t>
      </w:r>
    </w:p>
    <w:p>
      <w:r>
        <w:t>RESOLUTION</w:t>
        <w:br/>
        <w:t>CASE FILE C-0724/16 GLO BIDCO/ROSE HOLDINGS</w:t>
        <w:br/>
        <w:t>COMPETITION CHAMBER</w:t>
        <w:br/>
        <w:t>President</w:t>
        <w:br/>
        <w:t>Mr. José María Marín Quemada</w:t>
        <w:br/>
        <w:t>Counselors</w:t>
        <w:br/>
        <w:t>Mr. Josep Maria Guinart Solà</w:t>
        <w:br/>
        <w:t>Ms. María Ortiz Aguilar</w:t>
        <w:br/>
        <w:t>Fernando Torremocha y García-Sáenz</w:t>
        <w:br/>
        <w:t>Mr. Benigno Valdés Díaz</w:t>
        <w:br/>
        <w:t>Secretary</w:t>
        <w:br/>
        <w:t>Mr. Tomás Suárez-Inclán González</w:t>
        <w:br/>
        <w:t>In Madrid, on January 28, 2016</w:t>
        <w:br/>
        <w:t>Having reviewed the case file processed in accordance with Law 15/2007, of July 3, on the Defense of Competition, concerning the acquisition by GLO BIDCO S.A.R.L. (GLO BIDCO) of exclusive control over ROSE HOLDINGS S.A.R.L. (ROSE HOLDINGS). (Case File C-0724/16 GLO BIDCO/ROSE HOLDINGS), and in agreement with the report and proposal submitted by the Competition Directorate, the Competition Chamber of the Council of the National Commission on Markets and Competition has resolved, pursuant to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