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https://www.cnmc.es/expedientes/c072516</w:t>
      </w:r>
    </w:p>
    <w:p>
      <w:r>
        <w:t>Pages translated : 2</w:t>
      </w:r>
    </w:p>
    <w:p/>
    <w:p>
      <w:r>
        <w:rPr>
          <w:b/>
        </w:rPr>
        <w:t>[Pages 1–2]</w:t>
      </w:r>
    </w:p>
    <w:p>
      <w:r>
        <w:t>RESOLUTION</w:t>
        <w:br/>
        <w:t>C-0725/16 HEFAME/COOFAMEL-ASSETS</w:t>
        <w:br/>
        <w:t>COMPETITION CHAMBER</w:t>
        <w:br/>
        <w:t>President</w:t>
        <w:br/>
        <w:t>Mr. José María Marín Quemada</w:t>
        <w:br/>
        <w:t>Counselors</w:t>
        <w:br/>
        <w:t>Mr. Josep Maria Guinart Solà</w:t>
        <w:br/>
        <w:t>Ms. María Ortiz Aguilar</w:t>
        <w:br/>
        <w:t>Fernando Torremocha y García-Sáenz</w:t>
        <w:br/>
        <w:t>Mr. Benigno Valdés Díaz</w:t>
        <w:br/>
        <w:t>Secretary</w:t>
        <w:br/>
        <w:t>Mr. Tomás Suárez-Inclán González</w:t>
        <w:br/>
        <w:t>In Madrid, on February 4, 2016</w:t>
        <w:br/>
        <w:t>Having reviewed the file processed in accordance with Law 15/2007, of July 3, on the Defense of Competition, concerning the acquisition by HERMANDAD FARMACÉUTICA DEL MEDITERRANEO, S.A. (HEFAME) of certain assets of COOPERATIVA FARMACÉUTICA DE MELILLA, S. COOP. LTDA. (COOFAMEL) related to the market for the distribution of medicines and pharmaceutical products. (File C-0725/16 HEFAME/COOFAMEL-ASSETS), and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However, taking into account the Communication from the European Commission on restrictions directly linked to the execution of a concentration and necessary for that purpose (2005/C 56/03) and the practice of national competition authorities, this Chamber proposes that the commitment to increase the discount offered to pharmacies if they exceed the purchase level contemplated in the stability commitment be excluded from the operation, in relation to the purchase and supply obligations clause, to the extent that it may confer the status of preferred supplier to the resulting company, remaining subject, therefore, to the regulations on agreements between companies. All of this in accordance with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