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https://www.cnmc.es/expedientes/c072616</w:t>
      </w:r>
    </w:p>
    <w:p>
      <w:r>
        <w:t>Pages translated : 1</w:t>
      </w:r>
    </w:p>
    <w:p/>
    <w:p>
      <w:r>
        <w:rPr>
          <w:b/>
        </w:rPr>
        <w:t>[Pages 1–1]</w:t>
      </w:r>
    </w:p>
    <w:p>
      <w:r>
        <w:t>RESOLUTION</w:t>
        <w:br/>
        <w:t>C-0726/16 KB/TMD FRICTION HOLDINGS Assets</w:t>
        <w:br/>
        <w:t>COMPETITION CHAMBER</w:t>
        <w:br/>
        <w:t>President</w:t>
        <w:br/>
        <w:t>Mr. José María Marín Quemada</w:t>
        <w:br/>
        <w:t>Counselors</w:t>
        <w:br/>
        <w:t>Mr. Josep Maria Guinart Solà</w:t>
        <w:br/>
        <w:t>Ms. María Ortiz Aguilar</w:t>
        <w:br/>
        <w:t>Fernando Torremocha y García-Sáenz</w:t>
        <w:br/>
        <w:t>Mr. Benigno Valdés Díaz</w:t>
        <w:br/>
        <w:t>Secretary</w:t>
        <w:br/>
        <w:t>Mr. Tomás Suárez-Inclán González</w:t>
        <w:br/>
        <w:t>In Madrid, on February 4, 2016</w:t>
        <w:br/>
        <w:t>Having reviewed the file processed in accordance with Law 15/2007, of July 3, on the Defense of Competition, concerning the acquisition by KNORR-BREMSE AG (KB) of the entire railway friction business of TMD FRICTION Holdings (UK) Ltd (TMD FRICTION). (File C-0726/16 KB/TMD FRICTION Assets),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