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https://www.cnmc.es/expedientes/c072716</w:t>
      </w:r>
    </w:p>
    <w:p>
      <w:r>
        <w:t>Pages translated : 1</w:t>
      </w:r>
    </w:p>
    <w:p/>
    <w:p>
      <w:r>
        <w:rPr>
          <w:b/>
        </w:rPr>
        <w:t>[Pages 1–1]</w:t>
      </w:r>
    </w:p>
    <w:p>
      <w:r>
        <w:t>RESOLUTION</w:t>
        <w:br/>
        <w:t>C-0727/16 MUTUA MADRILEÑA/TORREAL/INGESPORT</w:t>
        <w:br/>
        <w:t>COMPETITION CHAMBER</w:t>
        <w:br/>
        <w:t>President</w:t>
        <w:br/>
        <w:t>Mr. José María Marín Quemada</w:t>
        <w:br/>
        <w:t>Counselors</w:t>
        <w:br/>
        <w:t>Mr. Josep Maria Guinart Solà</w:t>
        <w:br/>
        <w:t>Ms. María Ortiz Aguilar</w:t>
        <w:br/>
        <w:t>Mr. Benigno Valdés Díaz</w:t>
        <w:br/>
        <w:t>Secretary</w:t>
        <w:br/>
        <w:t>Mr. Tomás Suárez-Inclán González</w:t>
        <w:br/>
        <w:t>In Madrid, on February 11, 2016</w:t>
        <w:br/>
        <w:t>Having reviewed the file processed in accordance with Law 15/2007, of July 3, on the Defense of Competition, consisting of the joint control acquisition of INGESPORT HEALTH &amp; SPA CONSULTING, S.L. (INGESPORT) by MUTUA MADRILEÑA AUTOMOVILISTA. SOCIEDAD DE SEGUROS A PRIMA FIJA (MUTUA) and TORREAL, S.A. (TORREAL) (File C-0727/16 MUTUA MADRILEÑA/TORREAL/INGESPORT),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