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https://www.cnmc.es/expedientes/c072916</w:t>
      </w:r>
    </w:p>
    <w:p>
      <w:r>
        <w:t>Pages translated : 2</w:t>
      </w:r>
    </w:p>
    <w:p/>
    <w:p>
      <w:r>
        <w:rPr>
          <w:b/>
        </w:rPr>
        <w:t>[Pages 1–2]</w:t>
      </w:r>
    </w:p>
    <w:p>
      <w:r>
        <w:t>RESOLUTION</w:t>
        <w:br/>
        <w:t>(FILE C/0729/16 ONTEX/GRUPO MABE)</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February 25, 2016</w:t>
        <w:br/>
        <w:t>Having reviewed the file processed in accordance with Law 15/2007, of July 3, on the Defense of Competition, consisting of the acquisition by ONTEX BVBA, ONTEX US HOLDCO LLC, and ONTEX ES HOLDCO S.A. (ONTEX Group) of exclusive control over the companies GMQ LLC, MPG LLC, Valor Brands LLC, and Valor Brands Europe S.L.U. that form the MABE Group. (File C-0729/16 ONTEX/GRUPO MABE),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 However, taking into account the legislation and national and community precedents, as well as the Commission Communication on restrictions directly linked to the execution of a concentration and necessary for that purpose (2005/C 56/03), this Chamber considers that the obligation of confidentiality, to the extent that it exceeds three years, should be excluded from the authorization, as it is not considered an ancillary and necessary restriction for the operation, and is therefore subject to the regulations on agreements between companies. All of this in accordance with what is stated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