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https://www.cnmc.es/expedientes/c073116</w:t>
      </w:r>
    </w:p>
    <w:p>
      <w:r>
        <w:t>Pages translated : 2</w:t>
      </w:r>
    </w:p>
    <w:p/>
    <w:p>
      <w:r>
        <w:rPr>
          <w:b/>
        </w:rPr>
        <w:t>[Pages 1–2]</w:t>
      </w:r>
    </w:p>
    <w:p>
      <w:r>
        <w:t>RESOLUTION</w:t>
        <w:br/>
        <w:t>CASE FILE C/0731/16 RIOGLASS/SCHOTT SOLAR</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March 17, 2016</w:t>
        <w:br/>
        <w:t>Having reviewed the case file processed in accordance with Law 15/2007, of July 3, on the Defense of Competition, concerning the acquisition by RIOGLASS SOLAR HOLDING, S.A. (hereinafter, RIOGLASS) of exclusive control over the company SCHOTT SOLAR S.L. Unipersonal (SCHOTT SOLAR) and certain assets of SCHOTT SOLAR CSP GmbH in Mitterteich (Germany). (Case File C/0731/16 RIOGLASS/SCHOTT SOLAR),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this Chamber does not consider the non-solicitation agreement and the confidentiality agreement, as well as the content of the non-competition clause regarding the purchase or holding of shares for exclusively financial investment purposes that do not confer to the acquirer management functions or substantial influence in the company, to be ancillary or necessary for the operation, thus remaining subject to the regulations on agreements between companies, in what exceeds three years.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