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https://www.cnmc.es/expedientes/c073216</w:t>
      </w:r>
    </w:p>
    <w:p>
      <w:r>
        <w:t>Pages translated : 1</w:t>
      </w:r>
    </w:p>
    <w:p/>
    <w:p>
      <w:r>
        <w:rPr>
          <w:b/>
        </w:rPr>
        <w:t>[Pages 1–1]</w:t>
      </w:r>
    </w:p>
    <w:p>
      <w:r>
        <w:t>RESOLUTION</w:t>
        <w:br/>
        <w:t>CASE FILE C/ 0732/16 CREDIT MUTUEL/TARGOBANK NGS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March 10, 2016</w:t>
        <w:br/>
        <w:t xml:space="preserve">Having reviewed the case file processed in accordance with Law 15/2007, of July 3, on the Defense of Competition, consisting of the exclusive control acquisition of TARGOBANK, S.A., by BANQUE FEDERATIVE DU CREDIT MUTUEL, S.A. (“CREDIT MUTUEL”). Currently, TARGOBANK is under joint control of CREDIT MUTUEL and BANCO POPULAR ESPAÑOL, S.A. (“BANCO POPULAR”). (Case File C/ 0732/16 CREDIT MUTUEL/TARGOBANK),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