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https://www.cnmc.es/expedientes/c073316</w:t>
      </w:r>
    </w:p>
    <w:p>
      <w:r>
        <w:t>Pages translated : 1</w:t>
      </w:r>
    </w:p>
    <w:p/>
    <w:p>
      <w:r>
        <w:rPr>
          <w:b/>
        </w:rPr>
        <w:t>[Pages 1–1]</w:t>
      </w:r>
    </w:p>
    <w:p>
      <w:r>
        <w:t>RESOLUTION</w:t>
        <w:br/>
        <w:t>CASE FILE C/0733/16 RAVAGO/WINCO</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March 17, 2016</w:t>
        <w:br/>
        <w:t>Having reviewed the case file processed in accordance with Law 15/2007, of July 3, on the Defense of Competition, concerning the acquisition by RAVAGO CHEMICALS SA (RAVAGO CH) of exclusive control over WINNCO PRODUCTOS QUÍMICOS, S.L. (WINNCO). (Case File C/0733/16 RAVAGO/WINCO), and in agreement with the report and proposal submitted by the Competition Directorate, the Competition Chamber of the Council of the National Commission on Markets and Competition has resolved, in application of art.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