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https://www.cnmc.es/expedientes/c073416</w:t>
      </w:r>
    </w:p>
    <w:p>
      <w:r>
        <w:t>Pages translated : 1</w:t>
      </w:r>
    </w:p>
    <w:p/>
    <w:p>
      <w:r>
        <w:rPr>
          <w:b/>
        </w:rPr>
        <w:t>[Pages 1–1]</w:t>
      </w:r>
    </w:p>
    <w:p>
      <w:r>
        <w:t>RESOLUTION</w:t>
        <w:br/>
        <w:t>CASE FILE C/0734/16 HERALDO/PEASA</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Barcelona, on May 5, 2016</w:t>
        <w:br/>
        <w:t>Having reviewed the case file processed in accordance with Law 15/2007, of July 3, on the Defense of Competition, regarding the notification related to the economic concentration operation consisting of the acquisition by HERALDO DE ARAGÓN, S.A. (HERALDO) of exclusive control over PUBLICACIONES Y EDICIONES DEL ALTO ARAGÓN, S.A. (PEASA) (Case File C/0734/16 HERALDO/PEASA),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