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https://www.cnmc.es/expedientes/c073516</w:t>
      </w:r>
    </w:p>
    <w:p>
      <w:r>
        <w:t>Pages translated : 1</w:t>
      </w:r>
    </w:p>
    <w:p/>
    <w:p>
      <w:r>
        <w:rPr>
          <w:b/>
        </w:rPr>
        <w:t>[Pages 1–1]</w:t>
      </w:r>
    </w:p>
    <w:p>
      <w:r>
        <w:t>7RESOLUTION</w:t>
        <w:br/>
        <w:t>FILE NO. C/0735/16 AREAS/THE EAT OUT GROUP (Assets)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March 31, 2016</w:t>
        <w:br/>
        <w:t>Having reviewed the file processed in accordance with Law 15/2007, of July 3, on the Defense of Competition, consisting of the exclusive control acquisition by ÁREAS, SAU of the assets that make up the concessionary catering business in transport infrastructure of THE EAT OUT GROUP, S.L.U, developed in airports and railway stations. (File No. C/0735/16 AREAS/THE EAT OUT GROUP (Assets), and in agreement with the report and proposal submitted by the Directorate of Competition, the Competition Chamber of the National Commission of Markets and Competition has resolved to archive the concentration operation in application of Article 57.2.e) of Law 15/2007, of July 3, on the Defense of Competition.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