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https://www.cnmc.es/expedientes/c073716</w:t>
      </w:r>
    </w:p>
    <w:p>
      <w:r>
        <w:t>Pages translated : 1</w:t>
      </w:r>
    </w:p>
    <w:p/>
    <w:p>
      <w:r>
        <w:rPr>
          <w:b/>
        </w:rPr>
        <w:t>[Pages 1–1]</w:t>
      </w:r>
    </w:p>
    <w:p>
      <w:r>
        <w:t>RESOLUTION</w:t>
        <w:br/>
        <w:t>CASE FILE C/0737/16 CORPFIN/ MINORITY SHAREHOLDERS/ARENAL</w:t>
        <w:br/>
        <w:t>COMPETITION CHAMBER</w:t>
        <w:br/>
        <w:t>President</w:t>
        <w:br/>
        <w:t>Mr. José María Marín Quemada</w:t>
        <w:br/>
        <w:t>Counselors</w:t>
        <w:br/>
        <w:t>Mr. Josep Maria Guinart Solà</w:t>
        <w:br/>
        <w:t>Ms. María Ortiz Aguilar</w:t>
        <w:br/>
        <w:t>Fernando Torremocha y García-Sáenz</w:t>
        <w:br/>
        <w:t>Mr. Benigno Valdés Díaz</w:t>
        <w:br/>
        <w:t>Secretary</w:t>
        <w:br/>
        <w:t>Mr. Tomás Suárez-Inclán González</w:t>
        <w:br/>
        <w:t>In Madrid, on March 31, 2016</w:t>
        <w:br/>
        <w:t>Having reviewed the case file processed in accordance with Law 15/2007, of July 3, on the Defense of Competition, consisting of the joint control acquisition of Arenal Perfumerías S.L. (“ARENAL”), by Corpfin Capital Asesores, S.A., S.G.E.I.C. (“CORPFIN”), and two individuals acting jointly (“MINORITY SHAREHOLDERS”), through an instrumental holding company Tomenider S.L.U. (“TOMENIDER”) (Case File C/0737/16 CORPFIN/ MINORITY SHAREHOLDERS/ARENAL),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