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https://www.cnmc.es/expedientes/c073816</w:t>
      </w:r>
    </w:p>
    <w:p>
      <w:r>
        <w:t>Pages translated : 2</w:t>
      </w:r>
    </w:p>
    <w:p/>
    <w:p>
      <w:r>
        <w:rPr>
          <w:b/>
        </w:rPr>
        <w:t>[Pages 1–2]</w:t>
      </w:r>
    </w:p>
    <w:p>
      <w:r>
        <w:t>RESOLUTION</w:t>
        <w:br/>
        <w:t>CASE FILE C/ 0738/16 PALFINGER/ MYCSA (Assets)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April 25, 2016</w:t>
        <w:br/>
        <w:t>Having reviewed the case file processed in accordance with Law 15/2007, of July 3, on the Defense of Competition, concerning the acquisition of exclusive control over the assets related to the commercial activity of the Palfinger brand from MYCSA MULDER Y CO IMPORTACIÓN-EXPORTACIÓN, S.A. (“MYCSA”) by PALFINGER EMEA GmbH. (Case File C/ 0738/16 PALFINGER/ MYCSA (Assets)),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practice of the CNMC and what is established in the Commission Communication on restrictions directly linked to the execution of a concentration and necessary for that purpose (2005/C 56/03), this Competition Chamber considers that the content and duration of the non-compete agreement, as it affects Spain, goes beyond what is reasonably required by the notified concentration operation, not forming part of the operation in what exceeds the current activity of the acquired assets from MYCSA (distribution of lifting machinery and the provision of related services) and of 2 years in duration. The non-solicitation agreement, as it affects Spain, is also not considered an integral part of the operation in what exceeds the commitment of the sellers not to solicit current employees or executives of the target companies for 2 years. All of this in accordance with what is indicated in paragraphs (19 and 20)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